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7D254" w14:textId="0C88FA18" w:rsidR="0045327E" w:rsidRDefault="005F7F8D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 xml:space="preserve">2.2 </w:t>
      </w:r>
      <w:bookmarkStart w:id="0" w:name="_GoBack"/>
      <w:bookmarkEnd w:id="0"/>
      <w:r w:rsid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Planten in de tuin.</w:t>
      </w:r>
    </w:p>
    <w:p w14:paraId="18CC9C16" w14:textId="77777777" w:rsid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</w:pPr>
    </w:p>
    <w:p w14:paraId="7C8CBAFA" w14:textId="77777777" w:rsid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Cs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nl-NL"/>
        </w:rPr>
        <w:t>In de tuin komen planten voor en deze planten kunnen uit vel verschillende groepen komen. Hieronder zie je 2 planten van het jaar 2014.</w:t>
      </w:r>
    </w:p>
    <w:p w14:paraId="3DEDF17F" w14:textId="77777777" w:rsid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Cs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nl-NL"/>
        </w:rPr>
        <w:t>Op de volgende bladzijdes staat een opdracht voor je die je digitaal per ELO inlevert.</w:t>
      </w:r>
    </w:p>
    <w:p w14:paraId="6C566588" w14:textId="77777777" w:rsidR="0045327E" w:rsidRP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Cs/>
          <w:color w:val="333333"/>
          <w:sz w:val="20"/>
          <w:szCs w:val="20"/>
          <w:lang w:eastAsia="nl-NL"/>
        </w:rPr>
      </w:pPr>
    </w:p>
    <w:p w14:paraId="49820EC9" w14:textId="77777777" w:rsidR="0045327E" w:rsidRP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</w:pPr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 xml:space="preserve">Vaste plant van het jaar 2014, </w:t>
      </w:r>
      <w:proofErr w:type="spellStart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Epimedium</w:t>
      </w:r>
      <w:proofErr w:type="spellEnd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.</w:t>
      </w:r>
    </w:p>
    <w:p w14:paraId="1D7E22F1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 </w:t>
      </w:r>
    </w:p>
    <w:p w14:paraId="0B0F3CF0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 </w:t>
      </w:r>
      <w:r w:rsidRPr="0045327E">
        <w:rPr>
          <w:rFonts w:ascii="Helvetica" w:eastAsia="Times New Roman" w:hAnsi="Helvetica" w:cs="Helvetica"/>
          <w:noProof/>
          <w:color w:val="333333"/>
          <w:sz w:val="20"/>
          <w:szCs w:val="20"/>
          <w:lang w:eastAsia="nl-NL"/>
        </w:rPr>
        <w:drawing>
          <wp:inline distT="0" distB="0" distL="0" distR="0" wp14:anchorId="3B3DF957" wp14:editId="5393566C">
            <wp:extent cx="1666875" cy="2487873"/>
            <wp:effectExtent l="0" t="0" r="0" b="8255"/>
            <wp:docPr id="1" name="Afbeelding 1" descr="epimedium perralchicum frohnle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medium perralchicum frohnleit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7E4E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Duitse plantenkwekersverbond hebben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Epimedium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gekozen tot plant van het jaar 2014.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Epimedium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wordt in Nederland ook Elfenbloem genoemd. Deze mooie bodembedekker dank zijn naam aan haar bijzondere bloemen.</w:t>
      </w:r>
    </w:p>
    <w:p w14:paraId="68775C3C" w14:textId="77777777" w:rsidR="0045327E" w:rsidRPr="0045327E" w:rsidRDefault="0045327E" w:rsidP="0045327E">
      <w:pPr>
        <w:shd w:val="clear" w:color="auto" w:fill="FFFFFF"/>
        <w:spacing w:after="0" w:line="33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</w:pPr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 xml:space="preserve">Boom van het jaar 2014, </w:t>
      </w:r>
      <w:proofErr w:type="spellStart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Fagus</w:t>
      </w:r>
      <w:proofErr w:type="spellEnd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 xml:space="preserve"> </w:t>
      </w:r>
      <w:proofErr w:type="spellStart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sylvatica</w:t>
      </w:r>
      <w:proofErr w:type="spellEnd"/>
      <w:r w:rsidRPr="004532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nl-NL"/>
        </w:rPr>
        <w:t>.</w:t>
      </w:r>
    </w:p>
    <w:p w14:paraId="461A6B33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 </w:t>
      </w:r>
    </w:p>
    <w:p w14:paraId="7E8F5199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noProof/>
          <w:color w:val="333333"/>
          <w:sz w:val="20"/>
          <w:szCs w:val="20"/>
          <w:lang w:eastAsia="nl-NL"/>
        </w:rPr>
        <w:drawing>
          <wp:inline distT="0" distB="0" distL="0" distR="0" wp14:anchorId="56674294" wp14:editId="5271FD55">
            <wp:extent cx="4057650" cy="2707213"/>
            <wp:effectExtent l="0" t="0" r="0" b="0"/>
            <wp:docPr id="2" name="Afbeelding 2" descr="fagus sylvatica solit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gus sylvatica solita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6520" w14:textId="77777777" w:rsid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Nederlandse boomkwekers hebben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Fagus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sylvatica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uitgeroepen tot boom van het jaar 2014.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Fagus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</w:t>
      </w:r>
      <w:proofErr w:type="spellStart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>sylvatica</w:t>
      </w:r>
      <w:proofErr w:type="spellEnd"/>
      <w:r w:rsidRPr="0045327E"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 is toepasbaar in grote en kleine tuinen, parken, lanen en laat zich goed leiden, sterk en resistent tegen plagen.</w:t>
      </w:r>
    </w:p>
    <w:p w14:paraId="6A4650EB" w14:textId="77777777" w:rsidR="0045327E" w:rsidRDefault="0045327E">
      <w:pP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br w:type="page"/>
      </w:r>
    </w:p>
    <w:p w14:paraId="269B2E79" w14:textId="77777777" w:rsid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lastRenderedPageBreak/>
        <w:t xml:space="preserve">Nu ga je zelf verder. Tuinplant van de maand, dit ga je uitzoeken en lever je digitaal in. Maak hierbij gebruik van de site: </w:t>
      </w:r>
      <w:hyperlink r:id="rId11" w:history="1">
        <w:r w:rsidRPr="00DA41F4">
          <w:rPr>
            <w:rStyle w:val="Hyperlink"/>
            <w:rFonts w:ascii="Helvetica" w:eastAsia="Times New Roman" w:hAnsi="Helvetica" w:cs="Helvetica"/>
            <w:sz w:val="20"/>
            <w:szCs w:val="20"/>
            <w:lang w:eastAsia="nl-NL"/>
          </w:rPr>
          <w:t>http://www.mooiwatplantendoen.nl/tuinplanten</w:t>
        </w:r>
      </w:hyperlink>
      <w:r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  <w:t xml:space="preserve">. </w:t>
      </w:r>
    </w:p>
    <w:p w14:paraId="2A52AF66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8"/>
          <w:lang w:eastAsia="nl-NL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nl-NL"/>
        </w:rPr>
        <w:t>Tuinplant van de maand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973"/>
        <w:gridCol w:w="2303"/>
      </w:tblGrid>
      <w:tr w:rsidR="0045327E" w14:paraId="5E5C01EE" w14:textId="77777777" w:rsidTr="0045327E">
        <w:tc>
          <w:tcPr>
            <w:tcW w:w="1242" w:type="dxa"/>
          </w:tcPr>
          <w:p w14:paraId="411FB4EB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694" w:type="dxa"/>
          </w:tcPr>
          <w:p w14:paraId="786C858B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Wetenschappelijke naam</w:t>
            </w:r>
          </w:p>
        </w:tc>
        <w:tc>
          <w:tcPr>
            <w:tcW w:w="2973" w:type="dxa"/>
          </w:tcPr>
          <w:p w14:paraId="764C0E1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Nederlandse naam</w:t>
            </w:r>
          </w:p>
        </w:tc>
        <w:tc>
          <w:tcPr>
            <w:tcW w:w="2303" w:type="dxa"/>
          </w:tcPr>
          <w:p w14:paraId="5EC59E6F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Afbeelding</w:t>
            </w:r>
          </w:p>
        </w:tc>
      </w:tr>
      <w:tr w:rsidR="0045327E" w14:paraId="5D20EAFD" w14:textId="77777777" w:rsidTr="0045327E">
        <w:tc>
          <w:tcPr>
            <w:tcW w:w="1242" w:type="dxa"/>
          </w:tcPr>
          <w:p w14:paraId="0AC30019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Januari</w:t>
            </w:r>
          </w:p>
        </w:tc>
        <w:tc>
          <w:tcPr>
            <w:tcW w:w="2694" w:type="dxa"/>
          </w:tcPr>
          <w:p w14:paraId="75E7837D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4DAC4C65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65FB8D70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7E6DFE37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CBE7FD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133B1853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1561C150" w14:textId="77777777" w:rsidTr="0045327E">
        <w:tc>
          <w:tcPr>
            <w:tcW w:w="1242" w:type="dxa"/>
          </w:tcPr>
          <w:p w14:paraId="52E3C6A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Februari</w:t>
            </w:r>
          </w:p>
        </w:tc>
        <w:tc>
          <w:tcPr>
            <w:tcW w:w="2694" w:type="dxa"/>
          </w:tcPr>
          <w:p w14:paraId="0748A6E0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09368751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0BF1DAC9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86318E0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6CBE2AA1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67659D9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6CED42CC" w14:textId="77777777" w:rsidTr="0045327E">
        <w:tc>
          <w:tcPr>
            <w:tcW w:w="1242" w:type="dxa"/>
          </w:tcPr>
          <w:p w14:paraId="6241C79E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694" w:type="dxa"/>
          </w:tcPr>
          <w:p w14:paraId="1093E30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147922DE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063B4F4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2C5D2C3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D75F02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08AEE8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0093DAD6" w14:textId="77777777" w:rsidTr="0045327E">
        <w:tc>
          <w:tcPr>
            <w:tcW w:w="1242" w:type="dxa"/>
          </w:tcPr>
          <w:p w14:paraId="65288E2F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694" w:type="dxa"/>
          </w:tcPr>
          <w:p w14:paraId="5FE3930A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388CCB0A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0C56016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A80537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80EB28F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36E4BF83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68AD1DCF" w14:textId="77777777" w:rsidTr="0045327E">
        <w:tc>
          <w:tcPr>
            <w:tcW w:w="1242" w:type="dxa"/>
          </w:tcPr>
          <w:p w14:paraId="433EF9D7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Mei</w:t>
            </w:r>
          </w:p>
        </w:tc>
        <w:tc>
          <w:tcPr>
            <w:tcW w:w="2694" w:type="dxa"/>
          </w:tcPr>
          <w:p w14:paraId="62038C7D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3D31857B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2FDA9301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6F46669A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7ADB089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3FE5A9BA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5B302DF2" w14:textId="77777777" w:rsidTr="0045327E">
        <w:tc>
          <w:tcPr>
            <w:tcW w:w="1242" w:type="dxa"/>
          </w:tcPr>
          <w:p w14:paraId="545D74DA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Juni</w:t>
            </w:r>
          </w:p>
        </w:tc>
        <w:tc>
          <w:tcPr>
            <w:tcW w:w="2694" w:type="dxa"/>
          </w:tcPr>
          <w:p w14:paraId="2058A331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03795A0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617FA677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792220F5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2D574F44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988ABB6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5E94BA4A" w14:textId="77777777" w:rsidTr="0045327E">
        <w:tc>
          <w:tcPr>
            <w:tcW w:w="1242" w:type="dxa"/>
          </w:tcPr>
          <w:p w14:paraId="625F8C0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Juli</w:t>
            </w:r>
          </w:p>
        </w:tc>
        <w:tc>
          <w:tcPr>
            <w:tcW w:w="2694" w:type="dxa"/>
          </w:tcPr>
          <w:p w14:paraId="068BF70F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4291C05C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6C8D4EF4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41AD610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1492DB30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60EF7CD4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5F96EA82" w14:textId="77777777" w:rsidTr="0045327E">
        <w:tc>
          <w:tcPr>
            <w:tcW w:w="1242" w:type="dxa"/>
          </w:tcPr>
          <w:p w14:paraId="0ABB8A98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lastRenderedPageBreak/>
              <w:t>Augustus</w:t>
            </w:r>
          </w:p>
        </w:tc>
        <w:tc>
          <w:tcPr>
            <w:tcW w:w="2694" w:type="dxa"/>
          </w:tcPr>
          <w:p w14:paraId="57C0974C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127933A7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4EBF3681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189ACC7B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5A34774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63F8EC87" w14:textId="77777777" w:rsidR="0045327E" w:rsidRDefault="0045327E" w:rsidP="0045327E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54CFD16A" w14:textId="77777777" w:rsidTr="0045327E">
        <w:tc>
          <w:tcPr>
            <w:tcW w:w="1242" w:type="dxa"/>
          </w:tcPr>
          <w:p w14:paraId="3BAF538B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2694" w:type="dxa"/>
          </w:tcPr>
          <w:p w14:paraId="5024DEED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3189055D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709F7D66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319AB03C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1667C325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25B611A6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5F05C36A" w14:textId="77777777" w:rsidTr="0045327E">
        <w:tc>
          <w:tcPr>
            <w:tcW w:w="1242" w:type="dxa"/>
          </w:tcPr>
          <w:p w14:paraId="43A1AD9E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</w:tcPr>
          <w:p w14:paraId="2C8E65A2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6DDDCC85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70FBEDE5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BE25378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4A8DE04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D59F480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056F4BC8" w14:textId="77777777" w:rsidTr="0045327E">
        <w:tc>
          <w:tcPr>
            <w:tcW w:w="1242" w:type="dxa"/>
          </w:tcPr>
          <w:p w14:paraId="7B26AF71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</w:tcPr>
          <w:p w14:paraId="16257E82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37730FD4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5433003F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439D4E9F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4DE0C85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55930D3A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  <w:tr w:rsidR="0045327E" w14:paraId="0B6C52BC" w14:textId="77777777" w:rsidTr="0045327E">
        <w:tc>
          <w:tcPr>
            <w:tcW w:w="1242" w:type="dxa"/>
          </w:tcPr>
          <w:p w14:paraId="19BAE5BD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  <w:t>December</w:t>
            </w:r>
          </w:p>
        </w:tc>
        <w:tc>
          <w:tcPr>
            <w:tcW w:w="2694" w:type="dxa"/>
          </w:tcPr>
          <w:p w14:paraId="320C5256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973" w:type="dxa"/>
          </w:tcPr>
          <w:p w14:paraId="1DBF7C72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2303" w:type="dxa"/>
          </w:tcPr>
          <w:p w14:paraId="5615D4AA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1E8C60E4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0A6DCA39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  <w:p w14:paraId="30F39372" w14:textId="77777777" w:rsidR="0045327E" w:rsidRDefault="0045327E" w:rsidP="00E358B1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55AEB35D" w14:textId="77777777" w:rsidR="0045327E" w:rsidRPr="0045327E" w:rsidRDefault="0045327E" w:rsidP="0045327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eastAsia="nl-NL"/>
        </w:rPr>
      </w:pPr>
    </w:p>
    <w:p w14:paraId="2A23D20D" w14:textId="77777777" w:rsidR="00FA090E" w:rsidRDefault="00FA090E"/>
    <w:sectPr w:rsidR="00FA090E" w:rsidSect="0045327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7E"/>
    <w:rsid w:val="0045327E"/>
    <w:rsid w:val="005F7F8D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A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27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5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53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27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5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453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ooiwatplantendoen.nl/tuinplanten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34357474EF84D8968EC193CEE7F23" ma:contentTypeVersion="4" ma:contentTypeDescription="Create a new document." ma:contentTypeScope="" ma:versionID="5c828da568085743183b795dbf6ca4a5">
  <xsd:schema xmlns:xsd="http://www.w3.org/2001/XMLSchema" xmlns:xs="http://www.w3.org/2001/XMLSchema" xmlns:p="http://schemas.microsoft.com/office/2006/metadata/properties" xmlns:ns1="http://schemas.microsoft.com/sharepoint/v3" xmlns:ns3="f9c610da-9b04-474e-978c-8a7eb715a581" targetNamespace="http://schemas.microsoft.com/office/2006/metadata/properties" ma:root="true" ma:fieldsID="17702b3abc7f5747ad7b1303ecd84435" ns1:_="" ns3:_="">
    <xsd:import namespace="http://schemas.microsoft.com/sharepoint/v3"/>
    <xsd:import namespace="f9c610da-9b04-474e-978c-8a7eb715a5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610da-9b04-474e-978c-8a7eb715a5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BD83-2730-4A26-B4AC-EEE836F260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3AE23E-7B8C-4060-BF51-545CD33FE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DD595-A99B-4745-A973-49FC28E3E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610da-9b04-474e-978c-8a7eb715a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D5951-3DD0-4F78-A6A9-DC51289B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Lobke Spruijt</cp:lastModifiedBy>
  <cp:revision>2</cp:revision>
  <dcterms:created xsi:type="dcterms:W3CDTF">2015-07-01T12:03:00Z</dcterms:created>
  <dcterms:modified xsi:type="dcterms:W3CDTF">2015-07-01T12:03:00Z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0x0101001DD34357474EF84D8968EC193CEE7F23</vt:lpwstr>
  </property>
</Properties>
</file>